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61FE" w:rsidRDefault="00BF01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2CCC780">
                <wp:simplePos x="0" y="0"/>
                <wp:positionH relativeFrom="column">
                  <wp:posOffset>-444500</wp:posOffset>
                </wp:positionH>
                <wp:positionV relativeFrom="paragraph">
                  <wp:posOffset>-463550</wp:posOffset>
                </wp:positionV>
                <wp:extent cx="1170940" cy="1062990"/>
                <wp:effectExtent l="12700" t="12700" r="9525" b="1270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60" cy="106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61FE" w:rsidRDefault="00BF01C2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56945" cy="93472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style="position:absolute;margin-left:-35pt;margin-top:-36.5pt;width:92.1pt;height:83.6pt;mso-wrap-style:none;v-text-anchor:middle" wp14:anchorId="22CCC78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56945" cy="934720"/>
                            <wp:effectExtent l="0" t="0" r="0" b="0"/>
                            <wp:docPr id="4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3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Economic Development Committee</w:t>
      </w:r>
    </w:p>
    <w:p w:rsidR="00E961FE" w:rsidRDefault="00BF01C2">
      <w:pPr>
        <w:spacing w:after="0"/>
        <w:jc w:val="center"/>
      </w:pPr>
      <w:proofErr w:type="spellStart"/>
      <w:r>
        <w:rPr>
          <w:rFonts w:ascii="Arial" w:hAnsi="Arial" w:cs="Arial"/>
        </w:rPr>
        <w:t>Butterick</w:t>
      </w:r>
      <w:proofErr w:type="spellEnd"/>
      <w:r>
        <w:rPr>
          <w:rFonts w:ascii="Arial" w:hAnsi="Arial" w:cs="Arial"/>
        </w:rPr>
        <w:t xml:space="preserve"> Building, 1 Park Street, Room 205</w:t>
      </w:r>
    </w:p>
    <w:p w:rsidR="00E961FE" w:rsidRDefault="00BF01C2">
      <w:pPr>
        <w:spacing w:after="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ZOOM Meeting due to COVID-19</w:t>
      </w:r>
    </w:p>
    <w:p w:rsidR="00E961FE" w:rsidRDefault="00BF01C2">
      <w:pPr>
        <w:spacing w:after="0"/>
        <w:jc w:val="center"/>
      </w:pPr>
      <w:r>
        <w:rPr>
          <w:rFonts w:ascii="Arial" w:hAnsi="Arial" w:cs="Arial"/>
          <w:color w:val="FF0000"/>
        </w:rPr>
        <w:t>June 7, 2021</w:t>
      </w:r>
    </w:p>
    <w:p w:rsidR="00E961FE" w:rsidRDefault="00BF01C2">
      <w:pPr>
        <w:spacing w:after="0"/>
        <w:jc w:val="center"/>
      </w:pPr>
      <w:r>
        <w:rPr>
          <w:rFonts w:ascii="Arial" w:hAnsi="Arial" w:cs="Arial"/>
        </w:rPr>
        <w:t>Time 8:30 AM</w:t>
      </w:r>
    </w:p>
    <w:p w:rsidR="00E961FE" w:rsidRDefault="00E961FE">
      <w:pPr>
        <w:spacing w:after="0"/>
        <w:jc w:val="center"/>
        <w:rPr>
          <w:rFonts w:ascii="Arial" w:hAnsi="Arial" w:cs="Arial"/>
        </w:rPr>
      </w:pPr>
    </w:p>
    <w:p w:rsidR="00E961FE" w:rsidRDefault="00BF01C2">
      <w:pPr>
        <w:pStyle w:val="NoSpacing"/>
        <w:jc w:val="center"/>
      </w:pPr>
      <w:r>
        <w:rPr>
          <w:rFonts w:ascii="Arial" w:hAnsi="Arial" w:cs="Arial"/>
          <w:b/>
          <w:sz w:val="28"/>
          <w:szCs w:val="28"/>
        </w:rPr>
        <w:t>Minutes</w:t>
      </w:r>
    </w:p>
    <w:p w:rsidR="00E961FE" w:rsidRDefault="00E961FE">
      <w:pPr>
        <w:rPr>
          <w:rFonts w:ascii="Arial" w:hAnsi="Arial" w:cs="Arial"/>
        </w:rPr>
      </w:pPr>
    </w:p>
    <w:p w:rsidR="00E961FE" w:rsidRDefault="00BF01C2">
      <w:r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 Chairman James Patacchiola, Keith Cordial,</w:t>
      </w:r>
      <w:r>
        <w:rPr>
          <w:rFonts w:ascii="Arial" w:hAnsi="Arial" w:cs="Arial"/>
        </w:rPr>
        <w:t xml:space="preserve"> Paul </w:t>
      </w:r>
      <w:bookmarkStart w:id="1" w:name="__DdeLink__120_12701174772"/>
      <w:proofErr w:type="spellStart"/>
      <w:r>
        <w:rPr>
          <w:rFonts w:ascii="Arial" w:hAnsi="Arial" w:cs="Arial"/>
        </w:rPr>
        <w:t>Cathcart</w:t>
      </w:r>
      <w:bookmarkEnd w:id="1"/>
      <w:proofErr w:type="spellEnd"/>
      <w:r>
        <w:rPr>
          <w:rFonts w:ascii="Arial" w:hAnsi="Arial" w:cs="Arial"/>
        </w:rPr>
        <w:t xml:space="preserve"> </w:t>
      </w:r>
    </w:p>
    <w:p w:rsidR="00E961FE" w:rsidRDefault="00BF01C2">
      <w:r>
        <w:rPr>
          <w:rFonts w:ascii="Arial" w:hAnsi="Arial" w:cs="Arial"/>
          <w:b/>
          <w:bCs/>
        </w:rPr>
        <w:t xml:space="preserve">Absent:   </w:t>
      </w:r>
      <w:r>
        <w:rPr>
          <w:rFonts w:ascii="Arial" w:hAnsi="Arial" w:cs="Arial"/>
        </w:rPr>
        <w:t xml:space="preserve">  Michael Pineo</w:t>
      </w:r>
      <w:proofErr w:type="gramStart"/>
      <w:r>
        <w:rPr>
          <w:rFonts w:ascii="Arial" w:hAnsi="Arial" w:cs="Arial"/>
        </w:rPr>
        <w:t>,  Maureen</w:t>
      </w:r>
      <w:proofErr w:type="gramEnd"/>
      <w:r>
        <w:rPr>
          <w:rFonts w:ascii="Arial" w:hAnsi="Arial" w:cs="Arial"/>
        </w:rPr>
        <w:t xml:space="preserve"> Cranson</w:t>
      </w:r>
    </w:p>
    <w:p w:rsidR="00E961FE" w:rsidRDefault="00BF01C2">
      <w:r>
        <w:rPr>
          <w:rFonts w:ascii="Arial" w:hAnsi="Arial" w:cs="Arial"/>
          <w:b/>
          <w:bCs/>
        </w:rPr>
        <w:t xml:space="preserve">Non-Members present: </w:t>
      </w:r>
      <w:r>
        <w:rPr>
          <w:rFonts w:ascii="Arial" w:hAnsi="Arial" w:cs="Arial"/>
        </w:rPr>
        <w:t xml:space="preserve"> Domenica Tatasciore (Staff), Kellie Hebert, Town Administrator (staff), Fred Aponte (Staff), Dick Maki, Mark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Design, Jim French, Sterling Historical Commission, Roseann Mapp, Ster</w:t>
      </w:r>
      <w:r>
        <w:rPr>
          <w:rFonts w:ascii="Arial" w:hAnsi="Arial" w:cs="Arial"/>
        </w:rPr>
        <w:t>ling Cultural Council</w:t>
      </w:r>
    </w:p>
    <w:p w:rsidR="00E961FE" w:rsidRDefault="00BF01C2">
      <w:r>
        <w:rPr>
          <w:rFonts w:ascii="Arial" w:hAnsi="Arial" w:cs="Arial"/>
          <w:b/>
          <w:bCs/>
        </w:rPr>
        <w:t>Open Meeting:</w:t>
      </w:r>
      <w:r>
        <w:rPr>
          <w:rFonts w:ascii="Arial" w:hAnsi="Arial" w:cs="Arial"/>
        </w:rPr>
        <w:t xml:space="preserve">  Chairman Patacchiola opened the meeting at 8:35 a.m.</w:t>
      </w:r>
      <w:r>
        <w:rPr>
          <w:rFonts w:ascii="Arial" w:hAnsi="Arial" w:cs="Arial"/>
        </w:rPr>
        <w:br/>
        <w:t xml:space="preserve"> </w:t>
      </w:r>
    </w:p>
    <w:p w:rsidR="00E961FE" w:rsidRDefault="00BF01C2">
      <w:r>
        <w:rPr>
          <w:rFonts w:ascii="Arial" w:hAnsi="Arial" w:cs="Arial"/>
          <w:b/>
          <w:bCs/>
          <w:u w:val="single"/>
        </w:rPr>
        <w:t>Approval of Past Minutes:</w:t>
      </w:r>
      <w:r>
        <w:rPr>
          <w:rFonts w:ascii="Arial" w:hAnsi="Arial" w:cs="Arial"/>
        </w:rPr>
        <w:t xml:space="preserve">  Paul </w:t>
      </w:r>
      <w:bookmarkStart w:id="2" w:name="__DdeLink__120_127011747721"/>
      <w:proofErr w:type="spellStart"/>
      <w:r>
        <w:rPr>
          <w:rFonts w:ascii="Arial" w:hAnsi="Arial" w:cs="Arial"/>
        </w:rPr>
        <w:t>Cathcart</w:t>
      </w:r>
      <w:bookmarkEnd w:id="2"/>
      <w:proofErr w:type="spellEnd"/>
      <w:r>
        <w:rPr>
          <w:rFonts w:ascii="Arial" w:hAnsi="Arial" w:cs="Arial"/>
        </w:rPr>
        <w:t xml:space="preserve"> made the motion to accept the minutes of the May 24, 2021 meeting.  Keith Cordial seconded.  </w:t>
      </w:r>
      <w:bookmarkStart w:id="3" w:name="__DdeLink__533_2344784551"/>
      <w:r>
        <w:rPr>
          <w:rFonts w:ascii="Arial" w:hAnsi="Arial" w:cs="Arial"/>
        </w:rPr>
        <w:t>The motion was unanimously acc</w:t>
      </w:r>
      <w:r>
        <w:rPr>
          <w:rFonts w:ascii="Arial" w:hAnsi="Arial" w:cs="Arial"/>
        </w:rPr>
        <w:t>epted.</w:t>
      </w:r>
      <w:bookmarkEnd w:id="3"/>
      <w:r>
        <w:rPr>
          <w:rFonts w:ascii="Arial" w:hAnsi="Arial" w:cs="Arial"/>
        </w:rPr>
        <w:t xml:space="preserve"> </w:t>
      </w:r>
    </w:p>
    <w:p w:rsidR="00E961FE" w:rsidRDefault="00E961FE">
      <w:pPr>
        <w:rPr>
          <w:rFonts w:ascii="Arial" w:hAnsi="Arial" w:cs="Arial"/>
        </w:rPr>
      </w:pPr>
    </w:p>
    <w:p w:rsidR="00E961FE" w:rsidRDefault="00BF01C2">
      <w:r>
        <w:rPr>
          <w:rFonts w:ascii="Arial" w:hAnsi="Arial" w:cs="Arial"/>
          <w:b/>
          <w:bCs/>
          <w:color w:val="000000"/>
          <w:u w:val="single"/>
        </w:rPr>
        <w:t xml:space="preserve">Local Rapid Recovery Planning Grant:  Mark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Favermann</w:t>
      </w:r>
      <w:proofErr w:type="spellEnd"/>
    </w:p>
    <w:p w:rsidR="00E961FE" w:rsidRDefault="00BF01C2">
      <w:r>
        <w:rPr>
          <w:rFonts w:ascii="Arial" w:hAnsi="Arial" w:cs="Arial"/>
        </w:rPr>
        <w:t xml:space="preserve">This meeting was called specifically to discuss using Mark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Design for district branding (signage) for Sterling.  The urgency of this meeting stemmed from the necessity of voting to appropriate money from the EDC’s budget before the J</w:t>
      </w:r>
      <w:r>
        <w:rPr>
          <w:rFonts w:ascii="Arial" w:hAnsi="Arial" w:cs="Arial"/>
        </w:rPr>
        <w:t xml:space="preserve">une 30, 2021 deadline.   </w:t>
      </w:r>
      <w:r>
        <w:rPr>
          <w:rFonts w:ascii="Arial" w:hAnsi="Arial" w:cs="Arial"/>
        </w:rPr>
        <w:t xml:space="preserve">  </w:t>
      </w:r>
    </w:p>
    <w:p w:rsidR="00E961FE" w:rsidRDefault="00BF01C2">
      <w:r>
        <w:rPr>
          <w:rFonts w:ascii="Arial" w:hAnsi="Arial" w:cs="Arial"/>
        </w:rPr>
        <w:t xml:space="preserve">Once again, 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gave the committee a presentation of samples that his company has provided for other towns.  He stated that he would need to make a public presentation and asked the committee’s opinion regarding how lo</w:t>
      </w:r>
      <w:r>
        <w:rPr>
          <w:rFonts w:ascii="Arial" w:hAnsi="Arial" w:cs="Arial"/>
        </w:rPr>
        <w:t xml:space="preserve">ng his presentation should be and what to include, i.e. what questions and statistics to make Sterling a vital and revised environment.  </w:t>
      </w:r>
      <w:r>
        <w:rPr>
          <w:rFonts w:ascii="Arial" w:hAnsi="Arial" w:cs="Arial"/>
        </w:rPr>
        <w:t>Chairman Patacchiola said that he should be ready to give the town a definition of what Town Branding is as many reside</w:t>
      </w:r>
      <w:r>
        <w:rPr>
          <w:rFonts w:ascii="Arial" w:hAnsi="Arial" w:cs="Arial"/>
        </w:rPr>
        <w:t xml:space="preserve">nts will not know.  Paul </w:t>
      </w:r>
      <w:proofErr w:type="spellStart"/>
      <w:r>
        <w:rPr>
          <w:rFonts w:ascii="Arial" w:hAnsi="Arial" w:cs="Arial"/>
        </w:rPr>
        <w:t>Cathcart</w:t>
      </w:r>
      <w:proofErr w:type="spellEnd"/>
      <w:r>
        <w:rPr>
          <w:rFonts w:ascii="Arial" w:hAnsi="Arial" w:cs="Arial"/>
        </w:rPr>
        <w:t xml:space="preserve"> stated that “less is better”, i.e. get in, get out, give a short, concise presentation, </w:t>
      </w:r>
      <w:proofErr w:type="gramStart"/>
      <w:r>
        <w:rPr>
          <w:rFonts w:ascii="Arial" w:hAnsi="Arial" w:cs="Arial"/>
        </w:rPr>
        <w:t>pick</w:t>
      </w:r>
      <w:proofErr w:type="gramEnd"/>
      <w:r>
        <w:rPr>
          <w:rFonts w:ascii="Arial" w:hAnsi="Arial" w:cs="Arial"/>
        </w:rPr>
        <w:t xml:space="preserve"> a couple of towns, keeping Sterling’s character as a point of reference.</w:t>
      </w:r>
    </w:p>
    <w:p w:rsidR="00E961FE" w:rsidRDefault="00BF01C2">
      <w:r>
        <w:rPr>
          <w:rFonts w:ascii="Arial" w:hAnsi="Arial" w:cs="Arial"/>
        </w:rPr>
        <w:t xml:space="preserve">Roseann Mapp, Sterling Cultural Council, suggested that </w:t>
      </w:r>
      <w:r>
        <w:rPr>
          <w:rFonts w:ascii="Arial" w:hAnsi="Arial" w:cs="Arial"/>
        </w:rPr>
        <w:t xml:space="preserve">Sterling’s community be involved.   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stressed the importance of keeping the group small.</w:t>
      </w:r>
    </w:p>
    <w:p w:rsidR="00E961FE" w:rsidRDefault="00BF01C2">
      <w:r>
        <w:rPr>
          <w:rFonts w:ascii="Arial" w:hAnsi="Arial" w:cs="Arial"/>
        </w:rPr>
        <w:lastRenderedPageBreak/>
        <w:t xml:space="preserve">Town Administrator, Kellie Hebert, stated that her department is ready to help out.  They are excited and all for the idea of town branding, including on </w:t>
      </w:r>
      <w:r>
        <w:rPr>
          <w:rFonts w:ascii="Arial" w:hAnsi="Arial" w:cs="Arial"/>
        </w:rPr>
        <w:t>the town’s stationery for a consistent message.  She said that currently every department in town has its own signage as does the town’s website.</w:t>
      </w:r>
    </w:p>
    <w:p w:rsidR="00E961FE" w:rsidRDefault="00BF01C2"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Cathcart</w:t>
      </w:r>
      <w:proofErr w:type="spellEnd"/>
      <w:r>
        <w:rPr>
          <w:rFonts w:ascii="Arial" w:hAnsi="Arial" w:cs="Arial"/>
        </w:rPr>
        <w:t xml:space="preserve"> made a motion to move forward with approving ~$15,000.00 for the Town Branding program.  Chairma</w:t>
      </w:r>
      <w:r>
        <w:rPr>
          <w:rFonts w:ascii="Arial" w:hAnsi="Arial" w:cs="Arial"/>
        </w:rPr>
        <w:t xml:space="preserve">n Patacchiola seconded, reminding everyone that Keith Cordial will need some funds for the Business Recognition and Awards Program to which Mr. Cordial replied that he would need $100.00 per plaque.  </w:t>
      </w:r>
      <w:r>
        <w:rPr>
          <w:rFonts w:ascii="Arial" w:hAnsi="Arial" w:cs="Arial"/>
        </w:rPr>
        <w:t>Fred Aponte stated that the balance in the budget is $15</w:t>
      </w:r>
      <w:r>
        <w:rPr>
          <w:rFonts w:ascii="Arial" w:hAnsi="Arial" w:cs="Arial"/>
        </w:rPr>
        <w:t>,711.67.  He drew attention to the fact that work on the project has to be started by June 30, 2021.  The motion was unanimously accepted.</w:t>
      </w:r>
    </w:p>
    <w:p w:rsidR="00E961FE" w:rsidRDefault="00BF01C2"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began the project by asking the Committee to describe Sterling in one word.  The responses were:</w:t>
      </w:r>
    </w:p>
    <w:p w:rsidR="00E961FE" w:rsidRDefault="00BF01C2">
      <w:r>
        <w:rPr>
          <w:rFonts w:ascii="Arial" w:hAnsi="Arial" w:cs="Arial"/>
        </w:rPr>
        <w:t>Quaint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Historical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Beautiful</w:t>
      </w:r>
      <w:r>
        <w:rPr>
          <w:rFonts w:ascii="Arial" w:hAnsi="Arial" w:cs="Arial"/>
        </w:rPr>
        <w:tab/>
        <w:t>Welcoming Friendly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Uncommon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Farms Agricultural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Outdoors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Spacious</w:t>
      </w:r>
      <w:r>
        <w:rPr>
          <w:rFonts w:ascii="Arial" w:hAnsi="Arial" w:cs="Arial"/>
        </w:rPr>
        <w:tab/>
        <w:t>Charming Progressive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Traditional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Lakes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Butterick</w:t>
      </w:r>
      <w:proofErr w:type="spellEnd"/>
      <w:r>
        <w:rPr>
          <w:rFonts w:ascii="Arial" w:hAnsi="Arial" w:cs="Arial"/>
        </w:rPr>
        <w:t xml:space="preserve"> Patterns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Inventive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Autumn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61FE" w:rsidRDefault="00E961FE">
      <w:pPr>
        <w:rPr>
          <w:rFonts w:ascii="Arial" w:hAnsi="Arial" w:cs="Arial"/>
        </w:rPr>
      </w:pPr>
    </w:p>
    <w:p w:rsidR="00E961FE" w:rsidRDefault="00BF01C2"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then asked the Committe</w:t>
      </w:r>
      <w:r>
        <w:rPr>
          <w:rFonts w:ascii="Arial" w:hAnsi="Arial" w:cs="Arial"/>
        </w:rPr>
        <w:t>e to describe Sterling in two words.  The responses were:</w:t>
      </w:r>
    </w:p>
    <w:p w:rsidR="00E961FE" w:rsidRDefault="00BF01C2">
      <w:r>
        <w:rPr>
          <w:rFonts w:ascii="Arial" w:hAnsi="Arial" w:cs="Arial"/>
        </w:rPr>
        <w:t>Agricultural Fair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Butterick</w:t>
      </w:r>
      <w:proofErr w:type="spellEnd"/>
      <w:r>
        <w:rPr>
          <w:rFonts w:ascii="Arial" w:hAnsi="Arial" w:cs="Arial"/>
        </w:rPr>
        <w:t xml:space="preserve"> patterns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Rurally</w:t>
      </w:r>
      <w:proofErr w:type="gramEnd"/>
      <w:r>
        <w:rPr>
          <w:rFonts w:ascii="Arial" w:hAnsi="Arial" w:cs="Arial"/>
        </w:rPr>
        <w:t xml:space="preserve"> adventurous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Outdoor Activities Community Pride</w:t>
      </w:r>
      <w:r>
        <w:rPr>
          <w:rFonts w:ascii="Arial" w:hAnsi="Arial" w:cs="Arial"/>
        </w:rPr>
        <w:tab/>
        <w:t>Rolling Hills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Surprisingly Accessible</w:t>
      </w:r>
    </w:p>
    <w:p w:rsidR="00E961FE" w:rsidRDefault="00E961FE">
      <w:pPr>
        <w:rPr>
          <w:rFonts w:ascii="Arial" w:hAnsi="Arial" w:cs="Arial"/>
        </w:rPr>
      </w:pPr>
    </w:p>
    <w:p w:rsidR="00E961FE" w:rsidRDefault="00BF01C2"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</w:rPr>
        <w:t xml:space="preserve"> then asked the Committee to describe Sterling in </w:t>
      </w:r>
      <w:r>
        <w:rPr>
          <w:rFonts w:ascii="Arial" w:hAnsi="Arial" w:cs="Arial"/>
        </w:rPr>
        <w:t>three words which might be turned into a tag line.  The responses were:</w:t>
      </w:r>
    </w:p>
    <w:p w:rsidR="00E961FE" w:rsidRDefault="00BF01C2">
      <w:r>
        <w:rPr>
          <w:rFonts w:ascii="Arial" w:hAnsi="Arial" w:cs="Arial"/>
        </w:rPr>
        <w:t>Uncommonly Natural Beauty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Fall </w:t>
      </w: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Easy Highway Access                Gem Between Cities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Apple of the Common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First Came the Apple     </w:t>
      </w:r>
      <w:proofErr w:type="spellStart"/>
      <w:r>
        <w:rPr>
          <w:rFonts w:ascii="Arial" w:hAnsi="Arial" w:cs="Arial"/>
        </w:rPr>
        <w:t>Apple</w:t>
      </w:r>
      <w:proofErr w:type="spellEnd"/>
      <w:r>
        <w:rPr>
          <w:rFonts w:ascii="Arial" w:hAnsi="Arial" w:cs="Arial"/>
        </w:rPr>
        <w:t xml:space="preserve"> Trees and Orchards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 Orchard of</w:t>
      </w:r>
      <w:r>
        <w:rPr>
          <w:rFonts w:ascii="Arial" w:hAnsi="Arial" w:cs="Arial"/>
        </w:rPr>
        <w:t xml:space="preserve"> Possibilities</w:t>
      </w:r>
    </w:p>
    <w:p w:rsidR="00E961FE" w:rsidRDefault="00BF01C2">
      <w:r>
        <w:rPr>
          <w:rFonts w:ascii="Arial" w:hAnsi="Arial" w:cs="Arial"/>
        </w:rPr>
        <w:t>“An Orchard of Possibilities” was the favorite of many.</w:t>
      </w:r>
    </w:p>
    <w:p w:rsidR="00E961FE" w:rsidRDefault="00E961FE">
      <w:pPr>
        <w:rPr>
          <w:rFonts w:ascii="Arial" w:hAnsi="Arial" w:cs="Arial"/>
          <w:color w:val="000000"/>
        </w:rPr>
      </w:pPr>
    </w:p>
    <w:p w:rsidR="00E961FE" w:rsidRDefault="00BF01C2">
      <w:r>
        <w:rPr>
          <w:rFonts w:ascii="Arial" w:hAnsi="Arial" w:cs="Arial"/>
          <w:color w:val="000000"/>
        </w:rPr>
        <w:t xml:space="preserve">Mr. </w:t>
      </w:r>
      <w:proofErr w:type="spellStart"/>
      <w:r>
        <w:rPr>
          <w:rFonts w:ascii="Arial" w:hAnsi="Arial" w:cs="Arial"/>
          <w:color w:val="000000"/>
        </w:rPr>
        <w:t>Favermann</w:t>
      </w:r>
      <w:proofErr w:type="spellEnd"/>
      <w:r>
        <w:rPr>
          <w:rFonts w:ascii="Arial" w:hAnsi="Arial" w:cs="Arial"/>
          <w:color w:val="000000"/>
        </w:rPr>
        <w:t xml:space="preserve"> then asked the Committee to describe Sterling by color.  The responses were:</w:t>
      </w:r>
    </w:p>
    <w:p w:rsidR="00E961FE" w:rsidRDefault="00BF01C2">
      <w:proofErr w:type="spellStart"/>
      <w:r>
        <w:rPr>
          <w:rFonts w:ascii="Arial" w:hAnsi="Arial" w:cs="Arial"/>
          <w:color w:val="000000"/>
        </w:rPr>
        <w:t>Sterlng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Autumn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Green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Orange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Yellow Blue (lakes)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961FE" w:rsidRDefault="00E961FE">
      <w:pPr>
        <w:rPr>
          <w:color w:val="000000"/>
        </w:rPr>
      </w:pPr>
    </w:p>
    <w:p w:rsidR="00E961FE" w:rsidRDefault="00BF01C2">
      <w:r>
        <w:rPr>
          <w:rFonts w:ascii="Arial" w:hAnsi="Arial" w:cs="Arial"/>
          <w:color w:val="000000"/>
        </w:rPr>
        <w:t xml:space="preserve">Mr. </w:t>
      </w:r>
      <w:proofErr w:type="spellStart"/>
      <w:r>
        <w:rPr>
          <w:rFonts w:ascii="Arial" w:hAnsi="Arial" w:cs="Arial"/>
          <w:color w:val="000000"/>
        </w:rPr>
        <w:t>Favermann</w:t>
      </w:r>
      <w:proofErr w:type="spellEnd"/>
      <w:r>
        <w:rPr>
          <w:rFonts w:ascii="Arial" w:hAnsi="Arial" w:cs="Arial"/>
          <w:color w:val="000000"/>
        </w:rPr>
        <w:t xml:space="preserve"> then asked the Commit</w:t>
      </w:r>
      <w:r>
        <w:rPr>
          <w:rFonts w:ascii="Arial" w:hAnsi="Arial" w:cs="Arial"/>
          <w:color w:val="000000"/>
        </w:rPr>
        <w:t>tee to describe Sterling with symbols.  The responses were:</w:t>
      </w:r>
    </w:p>
    <w:p w:rsidR="00E961FE" w:rsidRDefault="00BF01C2">
      <w:r>
        <w:rPr>
          <w:rFonts w:ascii="Arial" w:hAnsi="Arial" w:cs="Arial"/>
          <w:color w:val="000000"/>
        </w:rPr>
        <w:t>Pillars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Lamb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Apples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Trees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Fields         Rolling hills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Horses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Church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Truck, wagon, hay</w:t>
      </w:r>
    </w:p>
    <w:p w:rsidR="00E961FE" w:rsidRDefault="00E961FE">
      <w:pPr>
        <w:rPr>
          <w:rFonts w:ascii="Arial" w:hAnsi="Arial" w:cs="Arial"/>
          <w:color w:val="000000"/>
        </w:rPr>
      </w:pPr>
    </w:p>
    <w:p w:rsidR="00E961FE" w:rsidRDefault="00BF01C2">
      <w:r>
        <w:rPr>
          <w:rFonts w:ascii="Arial" w:hAnsi="Arial" w:cs="Arial"/>
          <w:color w:val="000000"/>
        </w:rPr>
        <w:t xml:space="preserve">Mr. </w:t>
      </w:r>
      <w:proofErr w:type="spellStart"/>
      <w:r>
        <w:rPr>
          <w:rFonts w:ascii="Arial" w:hAnsi="Arial" w:cs="Arial"/>
          <w:color w:val="000000"/>
        </w:rPr>
        <w:t>Favermann</w:t>
      </w:r>
      <w:proofErr w:type="spellEnd"/>
      <w:r>
        <w:rPr>
          <w:rFonts w:ascii="Arial" w:hAnsi="Arial" w:cs="Arial"/>
          <w:color w:val="000000"/>
        </w:rPr>
        <w:t xml:space="preserve"> talked about designing thematic street furniture using the </w:t>
      </w:r>
      <w:proofErr w:type="gramStart"/>
      <w:r>
        <w:rPr>
          <w:rFonts w:ascii="Arial" w:hAnsi="Arial" w:cs="Arial"/>
          <w:color w:val="000000"/>
        </w:rPr>
        <w:t>committees</w:t>
      </w:r>
      <w:proofErr w:type="gramEnd"/>
      <w:r>
        <w:rPr>
          <w:rFonts w:ascii="Arial" w:hAnsi="Arial" w:cs="Arial"/>
          <w:color w:val="000000"/>
        </w:rPr>
        <w:t xml:space="preserve"> decision</w:t>
      </w:r>
      <w:r>
        <w:rPr>
          <w:rFonts w:ascii="Arial" w:hAnsi="Arial" w:cs="Arial"/>
          <w:color w:val="000000"/>
        </w:rPr>
        <w:t xml:space="preserve"> on wording.  He then proposed his own list of descriptive words and expressions for Sterling:</w:t>
      </w:r>
    </w:p>
    <w:p w:rsidR="00E961FE" w:rsidRDefault="00BF01C2">
      <w:r>
        <w:rPr>
          <w:rFonts w:ascii="Arial" w:hAnsi="Arial" w:cs="Arial"/>
          <w:color w:val="000000"/>
        </w:rPr>
        <w:t>Aspirational – Sterling in the future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 Destination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Aggressive, quaint town Cultural – maintaining it (dance, music, arts, plays)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Performing Arts Center Trad</w:t>
      </w:r>
      <w:r>
        <w:rPr>
          <w:rFonts w:ascii="Arial" w:hAnsi="Arial" w:cs="Arial"/>
          <w:color w:val="000000"/>
        </w:rPr>
        <w:t>itionally into the Future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Connectivity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Moving History Forward       A Cultural and Recreational Destination</w:t>
      </w:r>
    </w:p>
    <w:p w:rsidR="00E961FE" w:rsidRDefault="00E961FE">
      <w:pPr>
        <w:rPr>
          <w:rFonts w:ascii="Arial" w:hAnsi="Arial" w:cs="Arial"/>
          <w:color w:val="000000"/>
        </w:rPr>
      </w:pPr>
    </w:p>
    <w:p w:rsidR="00E961FE" w:rsidRDefault="00BF01C2">
      <w:r>
        <w:rPr>
          <w:rFonts w:ascii="Arial" w:hAnsi="Arial" w:cs="Arial"/>
        </w:rPr>
        <w:t>Chairman Patacchiola opened the floor to comments.  Keith Cordial asked</w:t>
      </w:r>
      <w:r>
        <w:rPr>
          <w:rFonts w:ascii="Arial" w:hAnsi="Arial" w:cs="Arial"/>
          <w:color w:val="000000"/>
        </w:rPr>
        <w:t xml:space="preserve"> if </w:t>
      </w: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  <w:color w:val="000000"/>
        </w:rPr>
        <w:t xml:space="preserve"> had any testimonials from other towns.  He and Paul </w:t>
      </w:r>
      <w:proofErr w:type="spellStart"/>
      <w:r>
        <w:rPr>
          <w:rFonts w:ascii="Arial" w:hAnsi="Arial" w:cs="Arial"/>
          <w:color w:val="000000"/>
        </w:rPr>
        <w:t>Cat</w:t>
      </w:r>
      <w:r>
        <w:rPr>
          <w:rFonts w:ascii="Arial" w:hAnsi="Arial" w:cs="Arial"/>
          <w:color w:val="000000"/>
        </w:rPr>
        <w:t>hcart</w:t>
      </w:r>
      <w:proofErr w:type="spellEnd"/>
      <w:r>
        <w:rPr>
          <w:rFonts w:ascii="Arial" w:hAnsi="Arial" w:cs="Arial"/>
          <w:color w:val="000000"/>
        </w:rPr>
        <w:t xml:space="preserve"> both agreed that they should be part of his presentation.  </w:t>
      </w:r>
      <w:r>
        <w:rPr>
          <w:rFonts w:ascii="Arial" w:hAnsi="Arial" w:cs="Arial"/>
        </w:rPr>
        <w:t xml:space="preserve">Chairman Patacchiola asked Domenica Tatasciore to add Mr. Cordial’s question to correspondence she will sending to Mr. </w:t>
      </w:r>
      <w:proofErr w:type="spellStart"/>
      <w:r>
        <w:rPr>
          <w:rFonts w:ascii="Arial" w:hAnsi="Arial" w:cs="Arial"/>
        </w:rPr>
        <w:t>Favermann</w:t>
      </w:r>
      <w:proofErr w:type="spellEnd"/>
      <w:r>
        <w:rPr>
          <w:rFonts w:ascii="Arial" w:hAnsi="Arial" w:cs="Arial"/>
          <w:color w:val="000000"/>
        </w:rPr>
        <w:t>.</w:t>
      </w:r>
    </w:p>
    <w:p w:rsidR="00E961FE" w:rsidRDefault="00BF01C2">
      <w:r>
        <w:rPr>
          <w:rFonts w:ascii="Arial" w:hAnsi="Arial" w:cs="Arial"/>
          <w:color w:val="000000"/>
        </w:rPr>
        <w:t>Roseann Mapp, Sterling Cultural Council remarked that the tow</w:t>
      </w:r>
      <w:r>
        <w:rPr>
          <w:rFonts w:ascii="Arial" w:hAnsi="Arial" w:cs="Arial"/>
          <w:color w:val="000000"/>
        </w:rPr>
        <w:t>n doesn’t promote itself.  There are a lot of things going on but many people aren’t aware that they are.  Communication is lacking.  Jim French agreed by saying that there was a lot of interest in an arts presentation – 150 people showed up.  However, man</w:t>
      </w:r>
      <w:r>
        <w:rPr>
          <w:rFonts w:ascii="Arial" w:hAnsi="Arial" w:cs="Arial"/>
          <w:color w:val="000000"/>
        </w:rPr>
        <w:t xml:space="preserve">y who didn’t stated that they would have attended had they heard about it.   </w:t>
      </w:r>
      <w:r>
        <w:rPr>
          <w:rFonts w:ascii="Arial" w:hAnsi="Arial" w:cs="Arial"/>
        </w:rPr>
        <w:t>Domenica Tatasciore said that she has tried several times to reach out to the local newspapers, but they don’t publish what she’s asked them to publish.  Chairman Patacchiola sugg</w:t>
      </w:r>
      <w:r>
        <w:rPr>
          <w:rFonts w:ascii="Arial" w:hAnsi="Arial" w:cs="Arial"/>
        </w:rPr>
        <w:t xml:space="preserve">ested that we might pay for newspaper advertising. Paul </w:t>
      </w:r>
      <w:proofErr w:type="spellStart"/>
      <w:r>
        <w:rPr>
          <w:rFonts w:ascii="Arial" w:hAnsi="Arial" w:cs="Arial"/>
        </w:rPr>
        <w:t>Cathcart</w:t>
      </w:r>
      <w:proofErr w:type="spellEnd"/>
      <w:r>
        <w:rPr>
          <w:rFonts w:ascii="Arial" w:hAnsi="Arial" w:cs="Arial"/>
        </w:rPr>
        <w:t xml:space="preserve"> and he agreed to put Advertising on the next meeting agenda.</w:t>
      </w:r>
    </w:p>
    <w:p w:rsidR="00E961FE" w:rsidRDefault="00E961FE">
      <w:pPr>
        <w:rPr>
          <w:rFonts w:ascii="Arial" w:hAnsi="Arial" w:cs="Arial"/>
          <w:color w:val="000000"/>
        </w:rPr>
      </w:pPr>
    </w:p>
    <w:p w:rsidR="00E961FE" w:rsidRDefault="00BF01C2">
      <w:r>
        <w:rPr>
          <w:rFonts w:ascii="Arial" w:hAnsi="Arial" w:cs="Arial"/>
          <w:b/>
          <w:bCs/>
          <w:color w:val="000000"/>
          <w:u w:val="single"/>
        </w:rPr>
        <w:t>Other Business:</w:t>
      </w:r>
    </w:p>
    <w:p w:rsidR="00E961FE" w:rsidRDefault="00BF01C2">
      <w:r>
        <w:rPr>
          <w:rFonts w:ascii="Arial" w:hAnsi="Arial" w:cs="Arial"/>
          <w:color w:val="000000"/>
        </w:rPr>
        <w:t xml:space="preserve">Town Administrator, Kellie Hebert, </w:t>
      </w:r>
      <w:proofErr w:type="gramStart"/>
      <w:r>
        <w:rPr>
          <w:rFonts w:ascii="Arial" w:hAnsi="Arial" w:cs="Arial"/>
          <w:color w:val="000000"/>
        </w:rPr>
        <w:t xml:space="preserve">asked  </w:t>
      </w:r>
      <w:r>
        <w:rPr>
          <w:rFonts w:ascii="Arial" w:hAnsi="Arial" w:cs="Arial"/>
        </w:rPr>
        <w:t>Domenica</w:t>
      </w:r>
      <w:proofErr w:type="gramEnd"/>
      <w:r>
        <w:rPr>
          <w:rFonts w:ascii="Arial" w:hAnsi="Arial" w:cs="Arial"/>
        </w:rPr>
        <w:t xml:space="preserve"> Tatasciore to email the town meeting warrant to all the member</w:t>
      </w:r>
      <w:r>
        <w:rPr>
          <w:rFonts w:ascii="Arial" w:hAnsi="Arial" w:cs="Arial"/>
        </w:rPr>
        <w:t>s of the committee.</w:t>
      </w:r>
    </w:p>
    <w:p w:rsidR="00E961FE" w:rsidRDefault="00BF01C2">
      <w:r>
        <w:rPr>
          <w:rFonts w:ascii="Arial" w:hAnsi="Arial" w:cs="Arial"/>
        </w:rPr>
        <w:t xml:space="preserve">Ms. Hebert brought up the subject of the Town Common Project for $152,000.00 which is on the town warrant.  She would like to be able to talk to objectors to the town’s spending. Paul </w:t>
      </w:r>
      <w:proofErr w:type="spellStart"/>
      <w:r>
        <w:rPr>
          <w:rFonts w:ascii="Arial" w:hAnsi="Arial" w:cs="Arial"/>
        </w:rPr>
        <w:t>Cathcart</w:t>
      </w:r>
      <w:proofErr w:type="spellEnd"/>
      <w:r>
        <w:rPr>
          <w:rFonts w:ascii="Arial" w:hAnsi="Arial" w:cs="Arial"/>
        </w:rPr>
        <w:t xml:space="preserve"> remarked that the town should have a plan a</w:t>
      </w:r>
      <w:r>
        <w:rPr>
          <w:rFonts w:ascii="Arial" w:hAnsi="Arial" w:cs="Arial"/>
        </w:rPr>
        <w:t>nd move forward with it.  Revitalization of the town is not an option, it is a must.  Chairman Patacchiola stated that the EDC should support Ms. Hebert.</w:t>
      </w:r>
    </w:p>
    <w:p w:rsidR="00E961FE" w:rsidRDefault="00BF01C2">
      <w:r>
        <w:rPr>
          <w:rFonts w:ascii="Arial" w:hAnsi="Arial" w:cs="Arial"/>
          <w:b/>
          <w:bCs/>
          <w:color w:val="1D2228"/>
          <w:u w:val="single"/>
        </w:rPr>
        <w:lastRenderedPageBreak/>
        <w:t>Adjournment of Meeting</w:t>
      </w:r>
    </w:p>
    <w:p w:rsidR="00E961FE" w:rsidRDefault="00BF01C2">
      <w:r>
        <w:rPr>
          <w:rFonts w:ascii="Arial" w:hAnsi="Arial" w:cs="Arial"/>
        </w:rPr>
        <w:t xml:space="preserve">Chairman Patacchiola made a motion to adjourn the meeting.  Paul </w:t>
      </w:r>
      <w:proofErr w:type="spellStart"/>
      <w:r>
        <w:rPr>
          <w:rFonts w:ascii="Arial" w:hAnsi="Arial" w:cs="Arial"/>
        </w:rPr>
        <w:t>Cathcart</w:t>
      </w:r>
      <w:proofErr w:type="spellEnd"/>
      <w:r>
        <w:rPr>
          <w:rFonts w:ascii="Arial" w:hAnsi="Arial" w:cs="Arial"/>
        </w:rPr>
        <w:t xml:space="preserve"> secon</w:t>
      </w:r>
      <w:r>
        <w:rPr>
          <w:rFonts w:ascii="Arial" w:hAnsi="Arial" w:cs="Arial"/>
        </w:rPr>
        <w:t>ded.  All were in favor.  Meeting was adjourned at 10:30 a. m.</w:t>
      </w:r>
    </w:p>
    <w:p w:rsidR="00E961FE" w:rsidRDefault="00BF01C2">
      <w:r>
        <w:rPr>
          <w:rFonts w:ascii="Arial" w:hAnsi="Arial" w:cs="Arial"/>
        </w:rPr>
        <w:t>The next EDC meeting date will be on June 28, 2021 at 8:30 a.m.  Marketing has been added as an item on the agenda.</w:t>
      </w:r>
    </w:p>
    <w:p w:rsidR="00E961FE" w:rsidRDefault="00E961FE">
      <w:pPr>
        <w:rPr>
          <w:rFonts w:ascii="Arial" w:hAnsi="Arial" w:cs="Arial"/>
        </w:rPr>
      </w:pPr>
    </w:p>
    <w:p w:rsidR="00E961FE" w:rsidRDefault="00BF01C2">
      <w:r>
        <w:rPr>
          <w:rFonts w:ascii="Arial" w:hAnsi="Arial" w:cs="Arial"/>
        </w:rPr>
        <w:t>Respectfully submitted by Barbara O’Connor, Recorder</w:t>
      </w:r>
    </w:p>
    <w:p w:rsidR="00E961FE" w:rsidRDefault="00E961FE">
      <w:pPr>
        <w:suppressLineNumbers/>
        <w:tabs>
          <w:tab w:val="center" w:pos="4680"/>
          <w:tab w:val="right" w:pos="9360"/>
        </w:tabs>
      </w:pPr>
    </w:p>
    <w:sectPr w:rsidR="00E961FE">
      <w:footerReference w:type="default" r:id="rId9"/>
      <w:pgSz w:w="12240" w:h="15840"/>
      <w:pgMar w:top="1440" w:right="1440" w:bottom="1992" w:left="1440" w:header="0" w:footer="14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01C2">
      <w:pPr>
        <w:spacing w:after="0" w:line="240" w:lineRule="auto"/>
      </w:pPr>
      <w:r>
        <w:separator/>
      </w:r>
    </w:p>
  </w:endnote>
  <w:endnote w:type="continuationSeparator" w:id="0">
    <w:p w:rsidR="00000000" w:rsidRDefault="00BF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FE" w:rsidRDefault="00E961FE">
    <w:pPr>
      <w:suppressLineNumbers/>
      <w:tabs>
        <w:tab w:val="center" w:pos="4680"/>
        <w:tab w:val="right" w:pos="936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01C2">
      <w:pPr>
        <w:spacing w:after="0" w:line="240" w:lineRule="auto"/>
      </w:pPr>
      <w:r>
        <w:separator/>
      </w:r>
    </w:p>
  </w:footnote>
  <w:footnote w:type="continuationSeparator" w:id="0">
    <w:p w:rsidR="00000000" w:rsidRDefault="00BF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E"/>
    <w:rsid w:val="00BF01C2"/>
    <w:rsid w:val="00E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62F95-60B2-4419-AA5B-4692274A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49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4646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70CF9"/>
    <w:rPr>
      <w:rFonts w:ascii="Calibri" w:hAnsi="Calibri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E1424"/>
    <w:rPr>
      <w:sz w:val="22"/>
    </w:r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6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70CF9"/>
    <w:pPr>
      <w:spacing w:after="0" w:line="240" w:lineRule="auto"/>
    </w:pPr>
    <w:rPr>
      <w:rFonts w:ascii="Calibri" w:hAnsi="Calibri"/>
      <w:szCs w:val="21"/>
    </w:rPr>
  </w:style>
  <w:style w:type="paragraph" w:customStyle="1" w:styleId="FrameContents">
    <w:name w:val="Frame Contents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8253-FA56-4085-B5C4-8313027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dc:description/>
  <cp:lastModifiedBy>Kathy Farrell</cp:lastModifiedBy>
  <cp:revision>2</cp:revision>
  <dcterms:created xsi:type="dcterms:W3CDTF">2021-07-20T15:30:00Z</dcterms:created>
  <dcterms:modified xsi:type="dcterms:W3CDTF">2021-07-20T15:30:00Z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